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96</w:t>
      </w:r>
    </w:p>
    <w:p>
      <w:r>
        <w:t>Bundesgericht (BGE), 1989-05-31, FR</w:t>
      </w:r>
    </w:p>
    <w:p>
      <w:r>
        <w:rPr>
          <w:b/>
        </w:rPr>
        <w:t xml:space="preserve">Quelle: </w:t>
      </w:r>
      <w:r>
        <w:t>https://mcp.opencaselaw.ch/entscheid/bge_115 V 96</w:t>
      </w:r>
    </w:p>
    <w:p>
      <w:r>
        <w:t>FR: ATF 115 V 96</w:t>
      </w:r>
    </w:p>
    <w:p>
      <w:r>
        <w:t>IT: DTF 115 V 96</w:t>
      </w:r>
    </w:p>
    <w:p>
      <w:pPr>
        <w:pStyle w:val="Heading2"/>
      </w:pPr>
      <w:r>
        <w:t>Regeste</w:t>
      </w:r>
    </w:p>
    <w:p>
      <w:r>
        <w:t>Regeste Art. 50, 67 und 68 BVG: Kollektivversicherungsvertrag mit einer Einrichtung der beruflichen Vorsorge. Rechtsbeziehungen zwischen den an einem Vorsorgeverhältnis Beteiligten (Vorsorgeeinrichtung, Versicherer und Begünstigte). Art. 18 ff. BVG: Hinterlassenenleistungen. Bestimmung von Form und Umfang der Hinterlassenenleistungen.</w:t>
      </w:r>
    </w:p>
    <w:p>
      <w:pPr>
        <w:pStyle w:val="Heading2"/>
      </w:pPr>
      <w:r>
        <w:t>Erwägungen</w:t>
      </w:r>
    </w:p>
    <w:p>
      <w:r>
        <w:rPr>
          <w:b/>
        </w:rPr>
        <w:t>E. 1</w:t>
      </w:r>
    </w:p>
    <w:p>
      <w:r>
        <w:t>(Recevabilité)</w:t>
      </w:r>
    </w:p>
    <w:p>
      <w:r>
        <w:rPr>
          <w:b/>
        </w:rPr>
        <w:t>E. 2</w:t>
      </w:r>
    </w:p>
    <w:p>
      <w:r>
        <w:t>(Pouvoir d'examen)</w:t>
      </w:r>
    </w:p>
    <w:p>
      <w:r>
        <w:rPr>
          <w:b/>
        </w:rPr>
        <w:t>E. 3</w:t>
      </w:r>
    </w:p>
    <w:p>
      <w:r>
        <w:t>Il convient de préciser, en premier lieu, la nature des relations juridiques entre les diverses parties intéressées au rapport de prévoyance. a) Le Fonds recourant est une institution de prévoyance qui a conclu, aux fins de satisfaire à ses obligations, un contrat d'assurance collective (ou contrat de groupe) avec une compagnie d'assurances agréée ( art. 67 et 68 LPP ), la Bâloise. Dans un tel cas, l'assureur n'a en principe aucun lien juridique avec l'assuré ou son employeur ou encore avec les bénéficiaires de l'institution de prévoyance. Les ayants droit sont créanciers du Fonds et de lui seul. Contrairement à l'assurance collective contre les accidents et (depuis la révision du droit du contrat de travail en 1971) à celle contre la maladie, l' art. 87 LCA ne confère au bénéficiaire, dans l'assurance collective sur la vie, aucun droit propre contre l'assureur ( ATF 112 II 249 consid. Ia, ATF 101 Ib 238 consid. 3c,; RIEMER, Das Recht der beruflichen Vorsorge in der Schweiz [cité ci-après: Berufliche Vorsorge], p. 106, note 24; HELBLING, Personalvorsorge und BVG, 3e éd., p. 85; BETSCHART, Das Verhältnis zwischen Versicherungsträger und den aus der Versicherung berechtigten Personen bei der Personalvorsorge mit Gruppenversicherung, thèse Zurich 1976, p. 101; FEHLMANN, Sammel- und Gemeinschaftsstiftungen als Hauptträger der beruflichen Vorsorge, SZS 1989 p. 78). b) Dans le domaine de la prévoyance professionnelle obligatoire, les rapports juridiques entre l'institution de prévoyance et l'ayant droit sont régis en première ligne par la LPP et, dans une certaine mesure aussi, par les statuts ou règlements de l'institution, pour autant que les dispositions qu'ils renferment ne soient pas BGE 115 V 96 S. 99 contraires aux règles impératives de la loi ( art. 50 LPP ); il est douteux que ces liens, qui reposent pour l'essentiel sur le droit public fédéral, soient de nature contractuelle (RIEMER, Berufliche Vorsorge, p. 100; voir aussi, du même auteur: Vorsorge-, Fürsorge- und Sparverträge der beruflichen Vorsorge, in Festgabe zum 60. Geburtstag von Walter R. Schluep, p. 234; MAURER, Schweizerisches Privatversicherungsrecht, 2e éd., p. 443, note 1210a; contra: BETSCHART, op.cit., p. 43, note 20a). En revanche, en matière de prévoyance plus étendue (dite prévoyance pré-obligatoire, sous-obligatoire et sur-obligatoire), les employés assurés sont incontestablement liés à l'institution de prévoyance (de droit privé), comme par le passé, par un contrat innommé (sui generis) dit de prévoyance. Le règlement de prévoyance est le contenu préformé de ce contrat, à savoir ses conditions générales, auxquelles l'assuré se soumet expressément ou par actes concluants ( ATF 112 II 249 consid. Ib). En cas de décès de l'assuré, les ayants droit ne reçoivent pas la prestation de l'institution en vertu d'une prétention successorale. Ils disposent d'un droit originaire qui leur est conféré par le règlement; ils apparaissent comme les bénéficiaires d'une stipulation pour autrui au sens de l' art. 112 CO , le travailleur stipulant s'étant fait promettre par la caisse, obligée, le versement de prestations à certains tiers survivants ( ATF 113 V 289 consid. 4b, ATF 112 II 250 consid. Ib). c) Les prestations en faveur des bénéficiaires naissent ainsi directement de la loi ou du contrat de prévoyance. En cas de divergence, quant aux montants assurés, entre le contrat d'assurance et le règlement, c'est ce dernier qui, logiquement, fait foi (arrêt du Tribunal fédéral du 11 mars 1980, publié dans la SZS 1982 p. 75; RIEMER, Berufliche Vorsorge, p. 104, note 21). Il n'en demeure pas moins que les rapports de l'institution avec l'assureur et les destinataires des prestations sont souvent ordonnés l'un à l'autre. En effet, le règlement de l'institution prévoit en général que celle-ci ne répond pas de ses obligations réglementaires dans une mesure dépassant celles de l'assureur à son égard ( ATF 112 II 249 consid. Ia; BETSCHART, op.cit., p. 71; ZULAUF, Rechtsgrundsätze des Gruppenversicherungsvertrages unter besonderer Berücksichtigung der Personalgruppenversicherung, thèse Zurich 1971, p. 35).</w:t>
      </w:r>
    </w:p>
    <w:p>
      <w:r>
        <w:rPr>
          <w:b/>
        </w:rPr>
        <w:t>E. 4</w:t>
      </w:r>
    </w:p>
    <w:p>
      <w:r>
        <w:t>a) Dans sa version adoptée en 1980, le règlement du Fonds prévoit le versement d'un capital-décès (égal à un certain pourcentage du capital-retraite) et de rentes annuelles d'orphelin. BGE 115 V 96 S. 100 Il est précisé qu'une copie du certificat d'assurance établi par la Bâloise et indiquant les prestations assurées est délivrée à chaque affilié (art. 12 al. 6). C'est en vertu dudit règlement, compte tenu de la situation personnelle et familiale ainsi que du salaire assuré de Patrick L., qu'a été établi à son nom le certificat d'assurance du 21 mai 1984, fixant concrètement le montant des prestations exigibles en cas de vie, de décès et d'invalidité - montants au demeurant non contestés en tant que tels (soit notamment, en cas de décès, 310'982 francs en capital et 2'400 francs de rente annuelle d'orphelin de père). b) A la survenance du cas de prévoyance, le 6 juin 1985, ce règlement était encore en vigueur. Un nouveau règlement, sous la forme d'un projet, n'a été établi que le 14 août 1985, soit postérieurement au décès de Patrick L. Il n'était donc pas applicable en l'espèce, comme l'a retenu à bon droit la juridiction cantonale. A cet égard, il est sans importance qu'il ait été mis en vigueur rétroactivement au 1er janvier 1985: si la rétroactivité est admissible quant aux personnes affiliées à la date de l'adoption du règlement, en dehors de la survenance de l'éventualité assurée, elle ne saurait être envisagée pour un affilié (et pour les ayants droit de celui-ci) déjà décédé à ce moment-là (cf. SCHWEIZER, Rechtliche Grundlagen der Anwartschaft auf eine Stiftungsleistung in der beruflichen Vorsorge, thèse Zurich 1985, p. 85). Tout au moins cela vaut-il lorsque les modifications apportées n'améliorent pas, dans le cas concret, la situation des bénéficiaires. c) Il est vrai d'autre part que l'art. 3 du règlement de 1980 contient une clause limitative de responsabilité semblable à celle évoquée ci-dessus, puisqu'il précise que la responsabilité du Fonds ne va pas au-delà de celle de la Bâloise. Aussi bien le Fonds fait-il porter, dans son recours de droit administratif, l'essentiel de son argumentation sur la "Convention en vue de la réalisation de la prévoyance professionnelle selon la LPP", signée entre la Bâloise et lui-même à fin 1984. Mais ce document, qui se réfère du reste à un projet d'adaptation, ne démontre pas qu'un nouveau contrat d'assurance collective, remplaçant celui qui était en vigueur en mai 1984, ait été conclu avant le décès de l'assuré. On est au contraire fondé à considérer que tel n'a pas été le cas. En effet, selon toute apparence, le plan de prévoyance lié à la convention en cause avait un caractère provisoire, étant sujet à modifications, comme en témoigne le fait que le personnel de l'entreprise a été consulté à son propos au cours de l'année 1985. Bien plus, on s'aperçoit, à la BGE 115 V 96 S. 101 lecture des procès-verbaux des séances des 18 janvier et 30 avril 1985, que les employés intéressés (ou leurs délégués) n'étaient pas disposés à accepter ce plan sans obtenir des modifications nombreuses et importantes sur les prestations assurées et les cotisations à verser au Fonds. En outre, on constate que les "fiches d'orientation" individuelles remises aux salariés à fin 1984 portaient la mention: "Cette fiche d'orientation ne donne droit à aucune couverture." Enfin, on lit dans une lettre que le Bureau d'études C. a envoyée au mandataire des intimés le 12 août 1985 la phrase suivante: "Un nouveau contrat avec la BÂLOISE, contrat répondant aux exigences de la nouvelle loi, a été accepté le 26.06.1985." On peut donc affirmer, sur le vu de tous ces éléments, qu'il n'existait pas, à la date du décès, de discordance entre le règlement et le contrat d'assurance: la responsabilité de la Bâloise s'étendait encore aux obligations découlant du certificat d'assurance du 21 mai 1984. La clause de l'art. 3 précité n'est ainsi d'aucun secours en l'espèce.</w:t>
      </w:r>
    </w:p>
    <w:p>
      <w:r>
        <w:rPr>
          <w:b/>
        </w:rPr>
        <w:t>E. 5</w:t>
      </w:r>
    </w:p>
    <w:p>
      <w:r>
        <w:t>Le Fonds recourant objecte encore que, en raison de l'entrée en vigueur de la LPP, le 1er janvier 1985, les rapports issus de la prévoyance professionnelle se sont modifiés "impérativement et fondamentalement". De par la loi, les employés assurés auraient été soumis obligatoirement à un nouveau régime juridique, dont la convention du 3 décembre 1984 et le "Projet d'adaptation No 1" n'étaient que l'expression. Cette argumentation n'est pas fondée. L'entrée en vigueur de la LPP n'a pas eu pour conséquence de rendre caduques les anciennes dispositions statutaires ou réglementaires des institutions de prévoyance. L'intention de ses auteurs était de mettre sur pied un régime qui puisse s'intégrer, d'une manière aussi harmonieuse que possible, à celui de la prévoyance existante. Ainsi le législateur a-t-il renoncé à insérer dans la loi une disposition spéciale sur l'adaptation et la transformation des contrats d'assurance collective en cours à partir du 1er janvier 1985 (message du Conseil fédéral à l'appui d'un projet de loi sur la prévoyance professionnelle vieillesse, survivants et invalidité, du 19 décembre 1975, FF 1976 I 171). La LPP a donc bien plutôt été conçue comme une loi-cadre, qui pose des exigences minimales ( art. 6 LPP ) auxquelles doivent satisfaire les institutions désireuses de participer au régime de l'assurance obligatoire. Pour ce qui est des domaines des prestations et du financement, les modifications nécessaires ont été rendues obligatoires dès le 1er janvier 1985, alors que différents BGE 115 V 96 S. 102 délais ont été prévus pour les adaptations d'ordre formel à la nouvelle législation, notamment en ce qui concerne l'organisation (WALSER in HELBLING, op.cit., p. 398; PFITZMANN in HELBLING, op.cit., p. 371/372). Mais, en tout état de cause, une révision des statuts ou règlements antérieurs ne s'est imposée que dans la seule mesure où les exigences prescrites n'étaient pas respectées.</w:t>
      </w:r>
    </w:p>
    <w:p>
      <w:r>
        <w:rPr>
          <w:b/>
        </w:rPr>
        <w:t>E. 6</w:t>
      </w:r>
    </w:p>
    <w:p>
      <w:r>
        <w:t>Ainsi donc, il faut uniquement se demander, en l'espèce, si la forme et l'étendue des prestations découlant du règlement de 1980 correspondent aux prescriptions légales. Aux termes de l' art. 37 al. 1 LPP , les prestations pour survivants sont, en règle ordinaire, servies sous forme de rente. L'alinéa 3 permet toutefois de déroger à ce principe, lorsque les dispositions réglementaires de l'institution le prévoient, l'ayant droit pouvant alors exiger une prestation en capital au lieu de la rente de veuve. Compte tenu de cette faculté conférée aux institutions de prévoyance, il y a lieu de constater que, dans le cas d'espèce, le règlement du Fonds, dans sa formulation de 1980, n'est pas contraire à la LPP, dès lors qu'il prévoit expressément le versement d'un capital au bénéfice du conjoint survivant ( art. 11 al. 1 let . c en liaison avec l'art. 20 al. 1 let. a; voir également HELBLING, op.cit., p. 147). Par ailleurs, le règlement est aussi en accord avec la LPP en ce qui concerne les prestations aux orphelins, eu égard au fait que l' art. 20 LPP institue le droit à une rente d'orphelin (et exclut par silence qualifié de l'art. 37, sous réserve de l'alinéa 2 qui n'est pas applicable en l'espèce, le paiement d'un capital aux orphelins). Quant au montant des prestations en faveur des survivants, l' art. 21 al. 1 LPP stipule que la rente de veuve s'élève à 60 pour cent et celle d'orphelin à 20 pour cent de la rente d'invalidité entière qu'aurait pu toucher l'assuré. La rente d'invalidité entière correspond au moins à 7,2 pour cent du montant de l'avoir de vieillesse acquis à la naissance du droit à la rente, augmenté de la somme des bonifications afférentes aux années futures, sans intérêts ( art. 24 al. 2 LPP en liaison avec les art. 14 LPP et 17 al. 1 OPP 2). Dans le cas particulier, le montant des prestations allouées par les premiers juges ne paraît pas se situer en deçà des minima requis par la loi. Cela n'est du reste allégué ni par les survivants intimés ni par le Fonds et il ne se justifie pas de procéder à des vérifications plus approfondies.</w:t>
      </w:r>
    </w:p>
    <w:p>
      <w:r>
        <w:rPr>
          <w:b/>
        </w:rPr>
        <w:t>E. 7</w:t>
      </w:r>
    </w:p>
    <w:p>
      <w:r>
        <w:t>En conclusion, l'autorité cantonale a jugé avec raison que les prestations en faveur des survivants étaient celles indiquées BGE 115 V 96 S. 103 dans le certificat d'assurance du 21 mai 1984. Le recours de droit administratif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